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36"/>
          <w:szCs w:val="36"/>
        </w:rPr>
        <w:t xml:space="preserve">Biquad stability — quick reference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Form:  H(z) = (b0 + b1·z⁻¹ + b2·z⁻²) / (1 + a1·z⁻¹ + a2·z⁻²)</w:t>
      </w:r>
    </w:p>
    <w:p>
      <w:pPr>
        <w:pStyle w:val="Heading2"/>
        <w:spacing w:after="80" w:before="180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1. Hard stability conditions (must all hold)</w:t>
      </w:r>
    </w:p>
    <w:p>
      <w:pPr>
        <w:spacing w:after="120" w:before="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A biquad is stable (both poles inside the unit circle) if and only if all three conditions below are true. Test each biquad after every optimisation round.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4100"/>
        <w:gridCol w:w="4160"/>
      </w:tblGrid>
      <w:tr>
        <w:trPr>
          <w:tblHeader/>
        </w:trPr>
        <w:tc>
          <w:tcPr>
            <w:tcW w:type="dxa" w:w="1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#</w:t>
            </w:r>
          </w:p>
        </w:tc>
        <w:tc>
          <w:tcPr>
            <w:tcW w:type="dxa" w:w="4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Condition</w:t>
            </w:r>
          </w:p>
        </w:tc>
        <w:tc>
          <w:tcPr>
            <w:tcW w:type="dxa" w:w="41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Equivalent form</w:t>
            </w:r>
          </w:p>
        </w:tc>
      </w:tr>
      <w:tr>
        <w:tc>
          <w:tcPr>
            <w:tcW w:type="dxa" w:w="1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1</w:t>
            </w:r>
          </w:p>
        </w:tc>
        <w:tc>
          <w:tcPr>
            <w:tcW w:type="dxa" w:w="4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|a2| &lt; 1</w:t>
            </w:r>
          </w:p>
        </w:tc>
        <w:tc>
          <w:tcPr>
            <w:tcW w:type="dxa" w:w="41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2"/>
                <w:szCs w:val="22"/>
              </w:rPr>
              <w:t xml:space="preserve">product of pole magnitudes &lt; 1</w:t>
            </w:r>
          </w:p>
        </w:tc>
      </w:tr>
      <w:tr>
        <w:tc>
          <w:tcPr>
            <w:tcW w:type="dxa" w:w="1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2</w:t>
            </w:r>
          </w:p>
        </w:tc>
        <w:tc>
          <w:tcPr>
            <w:tcW w:type="dxa" w:w="4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a2 &gt; a1 − 1</w:t>
            </w:r>
          </w:p>
        </w:tc>
        <w:tc>
          <w:tcPr>
            <w:tcW w:type="dxa" w:w="41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1 − a1 + a2 &gt; 0   (Nyquist denominator positive)</w:t>
            </w:r>
          </w:p>
        </w:tc>
      </w:tr>
      <w:tr>
        <w:tc>
          <w:tcPr>
            <w:tcW w:type="dxa" w:w="1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3</w:t>
            </w:r>
          </w:p>
        </w:tc>
        <w:tc>
          <w:tcPr>
            <w:tcW w:type="dxa" w:w="41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a2 &gt; −a1 − 1</w:t>
            </w:r>
          </w:p>
        </w:tc>
        <w:tc>
          <w:tcPr>
            <w:tcW w:type="dxa" w:w="41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1 + a1 + a2 &gt; 0   (DC denominator positive)</w:t>
            </w:r>
          </w:p>
        </w:tc>
      </w:tr>
    </w:tbl>
    <w:p>
      <w:pPr>
        <w:spacing w:after="60" w:before="12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Geometric meaning: 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the three conditions define a triangle in the (a1, a2) plane with corners </w:t>
      </w:r>
      <w:r>
        <w:rPr>
          <w:rFonts w:ascii="Consolas" w:cs="Consolas" w:eastAsia="Consolas" w:hAnsi="Consolas"/>
          <w:b w:val="false"/>
          <w:bCs w:val="false"/>
          <w:i/>
          <w:iCs/>
          <w:color w:val="000000"/>
          <w:sz w:val="22"/>
          <w:szCs w:val="22"/>
        </w:rPr>
        <w:t xml:space="preserve">(−2, +1)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, </w:t>
      </w:r>
      <w:r>
        <w:rPr>
          <w:rFonts w:ascii="Consolas" w:cs="Consolas" w:eastAsia="Consolas" w:hAnsi="Consolas"/>
          <w:b w:val="false"/>
          <w:bCs w:val="false"/>
          <w:i/>
          <w:iCs/>
          <w:color w:val="000000"/>
          <w:sz w:val="22"/>
          <w:szCs w:val="22"/>
        </w:rPr>
        <w:t xml:space="preserve">(+2, +1)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, and </w:t>
      </w:r>
      <w:r>
        <w:rPr>
          <w:rFonts w:ascii="Consolas" w:cs="Consolas" w:eastAsia="Consolas" w:hAnsi="Consolas"/>
          <w:b w:val="false"/>
          <w:bCs w:val="false"/>
          <w:i/>
          <w:iCs/>
          <w:color w:val="000000"/>
          <w:sz w:val="22"/>
          <w:szCs w:val="22"/>
        </w:rPr>
        <w:t xml:space="preserve">(0, −1)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. The stable region is the interior of this triangle.</w:t>
      </w:r>
    </w:p>
    <w:p>
      <w:pPr>
        <w:pStyle w:val="Heading2"/>
        <w:spacing w:after="80" w:before="180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2. 10-second sanity check (do this after every optimiser run)</w:t>
      </w:r>
    </w:p>
    <w:p>
      <w:pPr>
        <w:spacing w:after="60" w:before="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each biquad, compute these two numbers in your head or on paper: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onsolas" w:cs="Consolas" w:eastAsia="Consolas" w:hAnsi="Consolas"/>
          <w:b w:val="false"/>
          <w:bCs w:val="false"/>
          <w:i w:val="false"/>
          <w:iCs w:val="false"/>
          <w:sz w:val="22"/>
          <w:szCs w:val="22"/>
        </w:rPr>
        <w:t xml:space="preserve">1 + a1 + a2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   (must be &gt; 0)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onsolas" w:cs="Consolas" w:eastAsia="Consolas" w:hAnsi="Consolas"/>
          <w:b w:val="false"/>
          <w:bCs w:val="false"/>
          <w:i w:val="false"/>
          <w:iCs w:val="false"/>
          <w:sz w:val="22"/>
          <w:szCs w:val="22"/>
        </w:rPr>
        <w:t xml:space="preserve">1 − a1 + a2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   (must be &gt; 0)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onsolas" w:cs="Consolas" w:eastAsia="Consolas" w:hAnsi="Consolas"/>
          <w:b w:val="false"/>
          <w:bCs w:val="false"/>
          <w:i w:val="false"/>
          <w:iCs w:val="false"/>
          <w:sz w:val="22"/>
          <w:szCs w:val="22"/>
        </w:rPr>
        <w:t xml:space="preserve">|a2|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   (must be &lt; 1)</w:t>
      </w:r>
    </w:p>
    <w:p>
      <w:pPr>
        <w:spacing w:after="6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If any of these fails: 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biquad is unstable. Reject the optimiser result and re-run with tighter bounds (see §4).</w:t>
      </w:r>
    </w:p>
    <w:p>
      <w:pPr>
        <w:pStyle w:val="Heading2"/>
        <w:spacing w:after="80" w:before="180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3. Recommended VituixCAD optimiser bounds</w:t>
      </w:r>
    </w:p>
    <w:p>
      <w:pPr>
        <w:spacing w:after="120" w:before="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These bounds suit normal resonant biquads (peaking EQ, shelves, low-Q crossover sections). The yellow-shaded rows are the safety-critical ones — getting these wrong is what produced the unstable solutions earlier.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400"/>
        <w:gridCol w:w="1400"/>
        <w:gridCol w:w="5060"/>
      </w:tblGrid>
      <w:tr>
        <w:trPr>
          <w:tblHeader/>
        </w:trPr>
        <w:tc>
          <w:tcPr>
            <w:tcW w:type="dxa" w:w="15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Coefficient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Min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Max</w:t>
            </w:r>
          </w:p>
        </w:tc>
        <w:tc>
          <w:tcPr>
            <w:tcW w:type="dxa" w:w="50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Reason</w:t>
            </w:r>
          </w:p>
        </w:tc>
      </w:tr>
      <w:tr>
        <w:tc>
          <w:tcPr>
            <w:tcW w:type="dxa" w:w="15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b0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−4.0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+4.0</w:t>
            </w:r>
          </w:p>
        </w:tc>
        <w:tc>
          <w:tcPr>
            <w:tcW w:type="dxa" w:w="50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2"/>
                <w:szCs w:val="22"/>
              </w:rPr>
              <w:t xml:space="preserve">~±12 dB gain headroom</w:t>
            </w:r>
          </w:p>
        </w:tc>
      </w:tr>
      <w:tr>
        <w:tc>
          <w:tcPr>
            <w:tcW w:type="dxa" w:w="15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b1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−8.0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+8.0</w:t>
            </w:r>
          </w:p>
        </w:tc>
        <w:tc>
          <w:tcPr>
            <w:tcW w:type="dxa" w:w="50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2"/>
                <w:szCs w:val="22"/>
              </w:rPr>
              <w:t xml:space="preserve">can exceed b0 magnitude in mid-band</w:t>
            </w:r>
          </w:p>
        </w:tc>
      </w:tr>
      <w:tr>
        <w:tc>
          <w:tcPr>
            <w:tcW w:type="dxa" w:w="15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b2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−4.0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 w:val="false"/>
                <w:bCs w:val="false"/>
                <w:sz w:val="22"/>
                <w:szCs w:val="22"/>
              </w:rPr>
              <w:t xml:space="preserve">+4.0</w:t>
            </w:r>
          </w:p>
        </w:tc>
        <w:tc>
          <w:tcPr>
            <w:tcW w:type="dxa" w:w="50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2"/>
                <w:szCs w:val="22"/>
              </w:rPr>
              <w:t xml:space="preserve">symmetric to b0</w:t>
            </w:r>
          </w:p>
        </w:tc>
      </w:tr>
      <w:tr>
        <w:tc>
          <w:tcPr>
            <w:tcW w:type="dxa" w:w="15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/>
                <w:bCs/>
                <w:sz w:val="22"/>
                <w:szCs w:val="22"/>
              </w:rPr>
              <w:t xml:space="preserve">a1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/>
                <w:bCs/>
                <w:sz w:val="22"/>
                <w:szCs w:val="22"/>
              </w:rPr>
              <w:t xml:space="preserve">−1.99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/>
                <w:bCs/>
                <w:sz w:val="22"/>
                <w:szCs w:val="22"/>
              </w:rPr>
              <w:t xml:space="preserve">+1.99</w:t>
            </w:r>
          </w:p>
        </w:tc>
        <w:tc>
          <w:tcPr>
            <w:tcW w:type="dxa" w:w="50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2"/>
                <w:szCs w:val="22"/>
              </w:rPr>
              <w:t xml:space="preserve">touches stability triangle edges</w:t>
            </w:r>
          </w:p>
        </w:tc>
      </w:tr>
      <w:tr>
        <w:tc>
          <w:tcPr>
            <w:tcW w:type="dxa" w:w="15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onsolas" w:cs="Consolas" w:eastAsia="Consolas" w:hAnsi="Consolas"/>
                <w:b/>
                <w:bCs/>
                <w:sz w:val="22"/>
                <w:szCs w:val="22"/>
              </w:rPr>
              <w:t xml:space="preserve">a2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/>
                <w:bCs/>
                <w:sz w:val="22"/>
                <w:szCs w:val="22"/>
              </w:rPr>
              <w:t xml:space="preserve">0.0</w:t>
            </w:r>
          </w:p>
        </w:tc>
        <w:tc>
          <w:tcPr>
            <w:tcW w:type="dxa" w:w="140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onsolas" w:cs="Consolas" w:eastAsia="Consolas" w:hAnsi="Consolas"/>
                <w:b/>
                <w:bCs/>
                <w:sz w:val="22"/>
                <w:szCs w:val="22"/>
              </w:rPr>
              <w:t xml:space="preserve">+0.99</w:t>
            </w:r>
          </w:p>
        </w:tc>
        <w:tc>
          <w:tcPr>
            <w:tcW w:type="dxa" w:w="50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FF4D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2"/>
                <w:szCs w:val="22"/>
              </w:rPr>
              <w:t xml:space="preserve">forces complex-conjugate poles inside unit circle</w:t>
            </w:r>
          </w:p>
        </w:tc>
      </w:tr>
    </w:tbl>
    <w:p>
      <w:pPr>
        <w:spacing w:after="60" w:before="12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The b coefficients have no stability impact 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(they place zeros, not poles)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. The values above are sensible for ±12 dB EQ work; widen them if you need higher gains.</w:t>
      </w:r>
    </w:p>
    <w:p>
      <w:pPr>
        <w:pStyle w:val="Heading2"/>
        <w:spacing w:after="80" w:before="180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4. When the optimiser still finds an unstable solution</w:t>
      </w:r>
    </w:p>
    <w:p>
      <w:pPr>
        <w:spacing w:after="80" w:before="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Rectangular per-coefficient bounds cannot fully describe the triangular stable region, so the optimiser can still slip out at the corners. If a biquad fails the §2 check: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Tighten a1 bounds incrementally on that biquad: ±1.95, then ±1.90, then ±1.80, until a stable solution is found.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If the optimiser cannot fit the target with a stable biquad, that slot wants something a single resonant biquad cannot produce — split it into two cascaded 1st-order sections (each with a2 = 0, one real pole).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If the original biquad has both poles on the real axis (no imaginary part), it is already two 1st-order sections fused together. Replace it with a low-shelf/high-shelf parameter block, or with two adjacent 1st-order biquad slots.</w:t>
      </w:r>
    </w:p>
    <w:p>
      <w:pPr>
        <w:pStyle w:val="Heading2"/>
        <w:spacing w:after="80" w:before="180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5. Empirical guideline from the conversion work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onsolas" w:cs="Consolas" w:eastAsia="Consolas" w:hAnsi="Consolas"/>
          <w:b w:val="false"/>
          <w:bCs w:val="false"/>
          <w:i w:val="false"/>
          <w:iCs w:val="false"/>
          <w:sz w:val="22"/>
          <w:szCs w:val="22"/>
        </w:rPr>
        <w:t xml:space="preserve">a2 between +0.84 and +0.98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 → healthy resonant biquads. These typically need only minor optimiser tuning after sample-rate conversion.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onsolas" w:cs="Consolas" w:eastAsia="Consolas" w:hAnsi="Consolas"/>
          <w:b w:val="false"/>
          <w:bCs w:val="false"/>
          <w:i w:val="false"/>
          <w:iCs w:val="false"/>
          <w:sz w:val="22"/>
          <w:szCs w:val="22"/>
        </w:rPr>
        <w:t xml:space="preserve">a2 ≤ +0.30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 → caution. These tend to be the unstable ones in practice, and often indicate that the original filter wasn’t really a resonant biquad (probably two 1st-order sections in disguise).</w:t>
      </w:r>
    </w:p>
    <w:p>
      <w:pPr>
        <w:pStyle w:val="Heading2"/>
        <w:spacing w:after="80" w:before="180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6. Other quick checks worth doing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b/>
          <w:bCs/>
          <w:i w:val="false"/>
          <w:iCs w:val="false"/>
          <w:sz w:val="22"/>
          <w:szCs w:val="22"/>
        </w:rPr>
        <w:t xml:space="preserve">b0 sign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: if b0 is negative, the high-frequency portion of that biquad inverts polarity. Not automatically wrong, but check whether you actually wanted that.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b/>
          <w:bCs/>
          <w:i w:val="false"/>
          <w:iCs w:val="false"/>
          <w:sz w:val="22"/>
          <w:szCs w:val="22"/>
        </w:rPr>
        <w:t xml:space="preserve">Pole frequency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: for complex poles, f ≈ (fs / 2π) · arccos(−a1 / (2·√a2)).  At 96 kHz, a complex pole pair with a1 = −1.97, a2 = +0.98 corresponds to roughly 1.5 kHz.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b/>
          <w:bCs/>
          <w:i w:val="false"/>
          <w:iCs w:val="false"/>
          <w:sz w:val="22"/>
          <w:szCs w:val="22"/>
        </w:rPr>
        <w:t xml:space="preserve">Cascade order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sz w:val="22"/>
          <w:szCs w:val="22"/>
        </w:rPr>
        <w:t xml:space="preserve">: in fixed-point implementations (e.g. ADAU1701 in 5.23 format), the order of biquads in the chain affects internal headroom. If one biquad has a high peak gain, put it later in the chain rather than first, so it does not amplify quantisation noise from earlier stages.</w:t>
      </w:r>
    </w:p>
    <w:p>
      <w:pPr>
        <w:spacing w:before="240"/>
      </w:pPr>
      <w:r>
        <w:rPr>
          <w:rFonts w:ascii="Calibri" w:cs="Calibri" w:eastAsia="Calibri" w:hAnsi="Calibri"/>
          <w:i/>
          <w:iCs/>
          <w:color w:val="555555"/>
          <w:sz w:val="20"/>
          <w:szCs w:val="20"/>
        </w:rPr>
        <w:t xml:space="preserve">Reference form used throughout: VituixCAD “Generic” export, SigmaStudio General 2nd-order cell. No sign flipping on a1, a2 between the two tools.</w:t>
      </w:r>
    </w:p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Biquad stability quick reference</dc:title>
  <dc:creator>Biquad reference</dc:creator>
  <cp:lastModifiedBy>Un-named</cp:lastModifiedBy>
  <cp:revision>1</cp:revision>
  <dcterms:created xsi:type="dcterms:W3CDTF">2026-05-27T23:51:53.202Z</dcterms:created>
  <dcterms:modified xsi:type="dcterms:W3CDTF">2026-05-27T23:51:53.217Z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